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22767" w14:textId="26250549" w:rsidR="00BC1064" w:rsidRPr="00DE1BDE" w:rsidRDefault="007D3976" w:rsidP="00BC1064">
      <w:pPr>
        <w:jc w:val="center"/>
        <w:rPr>
          <w:rFonts w:ascii="Century Gothic" w:hAnsi="Century Gothic"/>
          <w:b/>
          <w:bCs/>
          <w:sz w:val="22"/>
        </w:rPr>
      </w:pPr>
      <w:r>
        <w:rPr>
          <w:noProof/>
        </w:rPr>
        <w:drawing>
          <wp:inline distT="0" distB="0" distL="0" distR="0" wp14:anchorId="5F9C7B37" wp14:editId="598F79AF">
            <wp:extent cx="776835" cy="776835"/>
            <wp:effectExtent l="0" t="0" r="4445" b="4445"/>
            <wp:docPr id="4" name="Picture 4" descr="Celestine Mu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lestine Mun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507" cy="798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bCs/>
          <w:sz w:val="22"/>
        </w:rPr>
        <w:t xml:space="preserve"> </w:t>
      </w:r>
      <w:r w:rsidR="00BC1064" w:rsidRPr="00DE1BDE">
        <w:rPr>
          <w:rFonts w:ascii="Century Gothic" w:hAnsi="Century Gothic"/>
          <w:b/>
          <w:bCs/>
          <w:sz w:val="22"/>
        </w:rPr>
        <w:t>CELESTINE MUNDA</w:t>
      </w:r>
    </w:p>
    <w:p w14:paraId="789E7142" w14:textId="446D5FA7" w:rsidR="00466908" w:rsidRPr="00DE1BDE" w:rsidRDefault="00466908" w:rsidP="004E3BDA">
      <w:pPr>
        <w:spacing w:after="78" w:line="240" w:lineRule="auto"/>
        <w:ind w:left="0" w:firstLine="0"/>
        <w:jc w:val="center"/>
        <w:rPr>
          <w:rFonts w:ascii="Century Gothic" w:eastAsia="Calibri" w:hAnsi="Century Gothic" w:cs="Times New Roman"/>
          <w:noProof/>
          <w:color w:val="auto"/>
          <w:sz w:val="22"/>
        </w:rPr>
      </w:pPr>
      <w:bookmarkStart w:id="0" w:name="_GoBack"/>
      <w:bookmarkEnd w:id="0"/>
    </w:p>
    <w:p w14:paraId="716BDED2" w14:textId="77777777" w:rsidR="00466908" w:rsidRPr="00DE1BDE" w:rsidRDefault="00466908" w:rsidP="00AC2986">
      <w:pPr>
        <w:jc w:val="center"/>
        <w:rPr>
          <w:rFonts w:ascii="Century Gothic" w:hAnsi="Century Gothic"/>
          <w:b/>
          <w:bCs/>
          <w:color w:val="auto"/>
          <w:sz w:val="22"/>
          <w:u w:val="single"/>
        </w:rPr>
      </w:pPr>
      <w:r w:rsidRPr="00DE1BDE">
        <w:rPr>
          <w:rFonts w:ascii="Century Gothic" w:hAnsi="Century Gothic"/>
          <w:b/>
          <w:bCs/>
          <w:color w:val="auto"/>
          <w:sz w:val="22"/>
          <w:u w:val="single"/>
        </w:rPr>
        <w:t>EXECUTIVE PROFILE</w:t>
      </w:r>
    </w:p>
    <w:p w14:paraId="52500337" w14:textId="50553F98" w:rsidR="00BC1064" w:rsidRPr="00DE1BDE" w:rsidRDefault="00BC1064" w:rsidP="00BC1064">
      <w:pPr>
        <w:rPr>
          <w:rFonts w:ascii="Century Gothic" w:hAnsi="Century Gothic"/>
          <w:sz w:val="22"/>
        </w:rPr>
      </w:pPr>
      <w:r w:rsidRPr="00DE1BDE">
        <w:rPr>
          <w:rFonts w:ascii="Century Gothic" w:hAnsi="Century Gothic"/>
          <w:sz w:val="22"/>
        </w:rPr>
        <w:t>Celestine Munda is a Certified Public Accountant (CPA-K)</w:t>
      </w:r>
      <w:r w:rsidR="00DE1BDE">
        <w:rPr>
          <w:rFonts w:ascii="Century Gothic" w:hAnsi="Century Gothic"/>
          <w:sz w:val="22"/>
        </w:rPr>
        <w:t xml:space="preserve"> </w:t>
      </w:r>
      <w:r w:rsidRPr="00DE1BDE">
        <w:rPr>
          <w:rFonts w:ascii="Century Gothic" w:hAnsi="Century Gothic"/>
          <w:sz w:val="22"/>
        </w:rPr>
        <w:t xml:space="preserve">and holds a degree in Accounting from the University of Nairobi. She is currently </w:t>
      </w:r>
      <w:r w:rsidR="00B113A0" w:rsidRPr="00DE1BDE">
        <w:rPr>
          <w:rFonts w:ascii="Century Gothic" w:hAnsi="Century Gothic"/>
          <w:sz w:val="22"/>
        </w:rPr>
        <w:t>the</w:t>
      </w:r>
      <w:r w:rsidRPr="00DE1BDE">
        <w:rPr>
          <w:rFonts w:ascii="Century Gothic" w:hAnsi="Century Gothic"/>
          <w:sz w:val="22"/>
        </w:rPr>
        <w:t xml:space="preserve"> Country Managing Partner</w:t>
      </w:r>
      <w:r w:rsidR="007D3976">
        <w:rPr>
          <w:rFonts w:ascii="Century Gothic" w:hAnsi="Century Gothic"/>
          <w:sz w:val="22"/>
        </w:rPr>
        <w:t xml:space="preserve"> </w:t>
      </w:r>
      <w:r w:rsidR="00346829">
        <w:rPr>
          <w:rFonts w:ascii="Century Gothic" w:hAnsi="Century Gothic"/>
          <w:sz w:val="22"/>
        </w:rPr>
        <w:t>and Head of Risk at</w:t>
      </w:r>
      <w:r w:rsidRPr="00DE1BDE">
        <w:rPr>
          <w:rFonts w:ascii="Century Gothic" w:hAnsi="Century Gothic"/>
          <w:sz w:val="22"/>
        </w:rPr>
        <w:t xml:space="preserve"> E</w:t>
      </w:r>
      <w:r w:rsidR="00346829">
        <w:rPr>
          <w:rFonts w:ascii="Century Gothic" w:hAnsi="Century Gothic"/>
          <w:sz w:val="22"/>
        </w:rPr>
        <w:t>rnest &amp;</w:t>
      </w:r>
      <w:r w:rsidRPr="00DE1BDE">
        <w:rPr>
          <w:rFonts w:ascii="Century Gothic" w:hAnsi="Century Gothic"/>
          <w:sz w:val="22"/>
        </w:rPr>
        <w:t>Y</w:t>
      </w:r>
      <w:r w:rsidR="00346829">
        <w:rPr>
          <w:rFonts w:ascii="Century Gothic" w:hAnsi="Century Gothic"/>
          <w:sz w:val="22"/>
        </w:rPr>
        <w:t xml:space="preserve">oung for </w:t>
      </w:r>
      <w:r w:rsidR="007D3976">
        <w:rPr>
          <w:rFonts w:ascii="Century Gothic" w:hAnsi="Century Gothic"/>
          <w:sz w:val="22"/>
        </w:rPr>
        <w:t>Sub-Saharan</w:t>
      </w:r>
      <w:r w:rsidR="00346829">
        <w:rPr>
          <w:rFonts w:ascii="Century Gothic" w:hAnsi="Century Gothic"/>
          <w:sz w:val="22"/>
        </w:rPr>
        <w:t xml:space="preserve"> Africa Moderator </w:t>
      </w:r>
      <w:r w:rsidR="00DE1BDE">
        <w:rPr>
          <w:rFonts w:ascii="Century Gothic" w:hAnsi="Century Gothic"/>
          <w:sz w:val="22"/>
        </w:rPr>
        <w:t>and</w:t>
      </w:r>
      <w:r w:rsidRPr="00DE1BDE">
        <w:rPr>
          <w:rFonts w:ascii="Century Gothic" w:hAnsi="Century Gothic"/>
          <w:sz w:val="22"/>
        </w:rPr>
        <w:t xml:space="preserve"> a trustee of Jim McFie Education Fund</w:t>
      </w:r>
      <w:r w:rsidR="00DE1BDE">
        <w:rPr>
          <w:rFonts w:ascii="Century Gothic" w:hAnsi="Century Gothic"/>
          <w:sz w:val="22"/>
        </w:rPr>
        <w:t xml:space="preserve">. She is also </w:t>
      </w:r>
      <w:r w:rsidRPr="00DE1BDE">
        <w:rPr>
          <w:rFonts w:ascii="Century Gothic" w:hAnsi="Century Gothic"/>
          <w:sz w:val="22"/>
        </w:rPr>
        <w:t xml:space="preserve">an Ambassador </w:t>
      </w:r>
      <w:r w:rsidR="00B113A0" w:rsidRPr="00DE1BDE">
        <w:rPr>
          <w:rFonts w:ascii="Century Gothic" w:hAnsi="Century Gothic"/>
          <w:sz w:val="22"/>
        </w:rPr>
        <w:t>of</w:t>
      </w:r>
      <w:r w:rsidRPr="00DE1BDE">
        <w:rPr>
          <w:rFonts w:ascii="Century Gothic" w:hAnsi="Century Gothic"/>
          <w:sz w:val="22"/>
        </w:rPr>
        <w:t xml:space="preserve"> Aiducation International</w:t>
      </w:r>
      <w:r w:rsidR="00DE1BDE">
        <w:rPr>
          <w:rFonts w:ascii="Century Gothic" w:hAnsi="Century Gothic"/>
          <w:sz w:val="22"/>
        </w:rPr>
        <w:t xml:space="preserve"> as well as </w:t>
      </w:r>
      <w:r w:rsidRPr="00DE1BDE">
        <w:rPr>
          <w:rFonts w:ascii="Century Gothic" w:hAnsi="Century Gothic"/>
          <w:sz w:val="22"/>
        </w:rPr>
        <w:t xml:space="preserve">the </w:t>
      </w:r>
      <w:r w:rsidR="00DE1BDE">
        <w:rPr>
          <w:rFonts w:ascii="Century Gothic" w:hAnsi="Century Gothic"/>
          <w:sz w:val="22"/>
        </w:rPr>
        <w:t>f</w:t>
      </w:r>
      <w:r w:rsidRPr="00DE1BDE">
        <w:rPr>
          <w:rFonts w:ascii="Century Gothic" w:hAnsi="Century Gothic"/>
          <w:sz w:val="22"/>
        </w:rPr>
        <w:t>ounder of Ruma Mentorship Programme in Siaya.</w:t>
      </w:r>
    </w:p>
    <w:p w14:paraId="62984898" w14:textId="77777777" w:rsidR="00466908" w:rsidRPr="00DE1BDE" w:rsidRDefault="00466908" w:rsidP="00AC2986">
      <w:pPr>
        <w:jc w:val="center"/>
        <w:rPr>
          <w:rFonts w:ascii="Century Gothic" w:hAnsi="Century Gothic"/>
          <w:b/>
          <w:bCs/>
          <w:color w:val="auto"/>
          <w:sz w:val="22"/>
          <w:u w:val="single"/>
        </w:rPr>
      </w:pPr>
      <w:r w:rsidRPr="00DE1BDE">
        <w:rPr>
          <w:rFonts w:ascii="Century Gothic" w:hAnsi="Century Gothic"/>
          <w:b/>
          <w:bCs/>
          <w:color w:val="auto"/>
          <w:sz w:val="22"/>
          <w:u w:val="single"/>
        </w:rPr>
        <w:t>AREAS OF EXPERTISE</w:t>
      </w:r>
    </w:p>
    <w:p w14:paraId="0725D37A" w14:textId="77CEB7DE" w:rsidR="00BC1064" w:rsidRPr="00DE1BDE" w:rsidRDefault="00BC1064" w:rsidP="00BC1064">
      <w:pPr>
        <w:jc w:val="left"/>
        <w:rPr>
          <w:rFonts w:ascii="Century Gothic" w:hAnsi="Century Gothic"/>
          <w:b/>
          <w:bCs/>
          <w:color w:val="auto"/>
          <w:sz w:val="22"/>
          <w:u w:val="single"/>
        </w:rPr>
      </w:pPr>
      <w:r w:rsidRPr="00DE1BDE">
        <w:rPr>
          <w:rFonts w:ascii="Century Gothic" w:hAnsi="Century Gothic"/>
          <w:sz w:val="22"/>
        </w:rPr>
        <w:t>She has broad experience in the fields of Finance, Accounting, Administration, Project Auditing</w:t>
      </w:r>
      <w:r w:rsidR="00F611EF">
        <w:rPr>
          <w:rFonts w:ascii="Century Gothic" w:hAnsi="Century Gothic"/>
          <w:sz w:val="22"/>
        </w:rPr>
        <w:t>,</w:t>
      </w:r>
      <w:r w:rsidR="00346829">
        <w:rPr>
          <w:rFonts w:ascii="Century Gothic" w:hAnsi="Century Gothic"/>
          <w:sz w:val="22"/>
        </w:rPr>
        <w:t xml:space="preserve"> </w:t>
      </w:r>
      <w:r w:rsidR="00F611EF">
        <w:rPr>
          <w:rFonts w:ascii="Century Gothic" w:hAnsi="Century Gothic"/>
          <w:sz w:val="22"/>
        </w:rPr>
        <w:t>I</w:t>
      </w:r>
      <w:r w:rsidR="00346829">
        <w:rPr>
          <w:rFonts w:ascii="Century Gothic" w:hAnsi="Century Gothic"/>
          <w:sz w:val="22"/>
        </w:rPr>
        <w:t>nternal Auditing,</w:t>
      </w:r>
      <w:r w:rsidRPr="00DE1BDE">
        <w:rPr>
          <w:rFonts w:ascii="Century Gothic" w:hAnsi="Century Gothic"/>
          <w:sz w:val="22"/>
        </w:rPr>
        <w:t xml:space="preserve"> Procurement</w:t>
      </w:r>
      <w:r w:rsidR="00346829">
        <w:rPr>
          <w:rFonts w:ascii="Century Gothic" w:hAnsi="Century Gothic"/>
          <w:sz w:val="22"/>
        </w:rPr>
        <w:t xml:space="preserve">, </w:t>
      </w:r>
      <w:r w:rsidR="00F611EF">
        <w:rPr>
          <w:rFonts w:ascii="Century Gothic" w:hAnsi="Century Gothic"/>
          <w:sz w:val="22"/>
        </w:rPr>
        <w:t>Taxation, Strategy</w:t>
      </w:r>
      <w:r w:rsidR="00346829">
        <w:rPr>
          <w:rFonts w:ascii="Century Gothic" w:hAnsi="Century Gothic"/>
          <w:sz w:val="22"/>
        </w:rPr>
        <w:t xml:space="preserve"> and </w:t>
      </w:r>
      <w:r w:rsidR="00F611EF">
        <w:rPr>
          <w:rFonts w:ascii="Century Gothic" w:hAnsi="Century Gothic"/>
          <w:sz w:val="22"/>
        </w:rPr>
        <w:t>Organizational</w:t>
      </w:r>
      <w:r w:rsidR="00346829">
        <w:rPr>
          <w:rFonts w:ascii="Century Gothic" w:hAnsi="Century Gothic"/>
          <w:sz w:val="22"/>
        </w:rPr>
        <w:t xml:space="preserve"> Reviews, Job Evaluations</w:t>
      </w:r>
      <w:r w:rsidR="00F611EF">
        <w:rPr>
          <w:rFonts w:ascii="Century Gothic" w:hAnsi="Century Gothic"/>
          <w:sz w:val="22"/>
        </w:rPr>
        <w:t>,</w:t>
      </w:r>
      <w:r w:rsidR="00346829">
        <w:rPr>
          <w:rFonts w:ascii="Century Gothic" w:hAnsi="Century Gothic"/>
          <w:sz w:val="22"/>
        </w:rPr>
        <w:t xml:space="preserve"> </w:t>
      </w:r>
      <w:r w:rsidRPr="00DE1BDE">
        <w:rPr>
          <w:rFonts w:ascii="Century Gothic" w:hAnsi="Century Gothic"/>
          <w:sz w:val="22"/>
        </w:rPr>
        <w:t>Operations</w:t>
      </w:r>
      <w:r w:rsidR="00346829">
        <w:rPr>
          <w:rFonts w:ascii="Century Gothic" w:hAnsi="Century Gothic"/>
          <w:sz w:val="22"/>
        </w:rPr>
        <w:t xml:space="preserve">, </w:t>
      </w:r>
      <w:r w:rsidR="00F611EF">
        <w:rPr>
          <w:rFonts w:ascii="Century Gothic" w:hAnsi="Century Gothic"/>
          <w:sz w:val="22"/>
        </w:rPr>
        <w:t>R</w:t>
      </w:r>
      <w:r w:rsidR="00346829">
        <w:rPr>
          <w:rFonts w:ascii="Century Gothic" w:hAnsi="Century Gothic"/>
          <w:sz w:val="22"/>
        </w:rPr>
        <w:t xml:space="preserve">isk </w:t>
      </w:r>
      <w:r w:rsidR="00F611EF">
        <w:rPr>
          <w:rFonts w:ascii="Century Gothic" w:hAnsi="Century Gothic"/>
          <w:sz w:val="22"/>
        </w:rPr>
        <w:t>Consulting, Advisory</w:t>
      </w:r>
      <w:r w:rsidR="00346829">
        <w:rPr>
          <w:rFonts w:ascii="Century Gothic" w:hAnsi="Century Gothic"/>
          <w:sz w:val="22"/>
        </w:rPr>
        <w:t xml:space="preserve"> Services</w:t>
      </w:r>
      <w:r w:rsidR="00F611EF">
        <w:rPr>
          <w:rFonts w:ascii="Century Gothic" w:hAnsi="Century Gothic"/>
          <w:sz w:val="22"/>
        </w:rPr>
        <w:t xml:space="preserve"> and</w:t>
      </w:r>
      <w:r w:rsidR="00346829">
        <w:rPr>
          <w:rFonts w:ascii="Century Gothic" w:hAnsi="Century Gothic"/>
          <w:sz w:val="22"/>
        </w:rPr>
        <w:t xml:space="preserve"> Corporate Governance, </w:t>
      </w:r>
    </w:p>
    <w:p w14:paraId="512EA425" w14:textId="77777777" w:rsidR="00466908" w:rsidRPr="00DE1BDE" w:rsidRDefault="00466908" w:rsidP="00B3415C">
      <w:pPr>
        <w:jc w:val="center"/>
        <w:rPr>
          <w:rFonts w:ascii="Century Gothic" w:hAnsi="Century Gothic"/>
          <w:b/>
          <w:bCs/>
          <w:color w:val="auto"/>
          <w:sz w:val="22"/>
          <w:u w:val="single"/>
        </w:rPr>
      </w:pPr>
      <w:r w:rsidRPr="00DE1BDE">
        <w:rPr>
          <w:rFonts w:ascii="Century Gothic" w:hAnsi="Century Gothic"/>
          <w:b/>
          <w:bCs/>
          <w:color w:val="auto"/>
          <w:sz w:val="22"/>
          <w:u w:val="single"/>
        </w:rPr>
        <w:t>PROFESSIONAL EXPERIENCE</w:t>
      </w:r>
    </w:p>
    <w:p w14:paraId="055BFB75" w14:textId="4434073D" w:rsidR="00BC1064" w:rsidRPr="00DE1BDE" w:rsidRDefault="00BC1064" w:rsidP="00BC1064">
      <w:pPr>
        <w:rPr>
          <w:rFonts w:ascii="Century Gothic" w:hAnsi="Century Gothic"/>
          <w:sz w:val="22"/>
        </w:rPr>
      </w:pPr>
      <w:r w:rsidRPr="00DE1BDE">
        <w:rPr>
          <w:rFonts w:ascii="Century Gothic" w:hAnsi="Century Gothic"/>
          <w:sz w:val="22"/>
        </w:rPr>
        <w:t xml:space="preserve">She </w:t>
      </w:r>
      <w:r w:rsidR="00B113A0" w:rsidRPr="00DE1BDE">
        <w:rPr>
          <w:rFonts w:ascii="Century Gothic" w:hAnsi="Century Gothic"/>
          <w:sz w:val="22"/>
        </w:rPr>
        <w:t xml:space="preserve">has </w:t>
      </w:r>
      <w:r w:rsidRPr="00DE1BDE">
        <w:rPr>
          <w:rFonts w:ascii="Century Gothic" w:hAnsi="Century Gothic"/>
          <w:sz w:val="22"/>
        </w:rPr>
        <w:t xml:space="preserve">offered professional services (Big 4) in Accounting and </w:t>
      </w:r>
      <w:r w:rsidR="00551AB8" w:rsidRPr="00DE1BDE">
        <w:rPr>
          <w:rFonts w:ascii="Century Gothic" w:hAnsi="Century Gothic"/>
          <w:sz w:val="22"/>
        </w:rPr>
        <w:t>auditing</w:t>
      </w:r>
      <w:r w:rsidRPr="00DE1BDE">
        <w:rPr>
          <w:rFonts w:ascii="Century Gothic" w:hAnsi="Century Gothic"/>
          <w:sz w:val="22"/>
        </w:rPr>
        <w:t>, covered projects in Business Risk Consulting, Internal Auditing, Corporate Governance, Strategy and Operations, Organizational Reviews and Job evaluations across the Public and Private Sector.</w:t>
      </w:r>
    </w:p>
    <w:p w14:paraId="34CA6D14" w14:textId="0EDB459A" w:rsidR="00BC1064" w:rsidRPr="00DE1BDE" w:rsidRDefault="00BC1064" w:rsidP="00BC1064">
      <w:pPr>
        <w:rPr>
          <w:rFonts w:ascii="Century Gothic" w:hAnsi="Century Gothic" w:cstheme="minorHAnsi"/>
          <w:sz w:val="22"/>
          <w:shd w:val="clear" w:color="auto" w:fill="FFFFFF"/>
        </w:rPr>
      </w:pPr>
      <w:r w:rsidRPr="00DE1BDE">
        <w:rPr>
          <w:rFonts w:ascii="Century Gothic" w:hAnsi="Century Gothic"/>
          <w:sz w:val="22"/>
        </w:rPr>
        <w:t xml:space="preserve"> She has also participated in Senior Management roles including </w:t>
      </w:r>
      <w:r w:rsidRPr="00DE1BDE">
        <w:rPr>
          <w:rFonts w:ascii="Century Gothic" w:hAnsi="Century Gothic" w:cstheme="minorHAnsi"/>
          <w:sz w:val="22"/>
          <w:shd w:val="clear" w:color="auto" w:fill="FFFFFF"/>
        </w:rPr>
        <w:t xml:space="preserve">Africa Risk Advisory Services Leader, East &amp; Central Africa Advisory Service Leader, Global Advisory Council Member, EMEIA Risk Advisory Services Executive Africa Representative, Africa Regional Partner Forum Representative and Consumer Products Leader (Advisory Services). </w:t>
      </w:r>
    </w:p>
    <w:p w14:paraId="54C76D3C" w14:textId="77777777" w:rsidR="00BC1064" w:rsidRPr="00DE1BDE" w:rsidRDefault="00BC1064" w:rsidP="00BC1064">
      <w:pPr>
        <w:rPr>
          <w:rFonts w:ascii="Century Gothic" w:hAnsi="Century Gothic" w:cstheme="minorHAnsi"/>
          <w:sz w:val="22"/>
        </w:rPr>
      </w:pPr>
      <w:r w:rsidRPr="00DE1BDE">
        <w:rPr>
          <w:rFonts w:ascii="Century Gothic" w:hAnsi="Century Gothic" w:cstheme="minorHAnsi"/>
          <w:sz w:val="22"/>
          <w:shd w:val="clear" w:color="auto" w:fill="FFFFFF"/>
        </w:rPr>
        <w:t xml:space="preserve">She has also served as the Vice President of Institute of Internal Audit (SA) and as a Chairperson advisory board of Internal Audit Endorsed Programme (IAEP) in the University </w:t>
      </w:r>
      <w:r w:rsidR="00551AB8" w:rsidRPr="00DE1BDE">
        <w:rPr>
          <w:rFonts w:ascii="Century Gothic" w:hAnsi="Century Gothic" w:cstheme="minorHAnsi"/>
          <w:sz w:val="22"/>
          <w:shd w:val="clear" w:color="auto" w:fill="FFFFFF"/>
        </w:rPr>
        <w:t>of</w:t>
      </w:r>
      <w:r w:rsidRPr="00DE1BDE">
        <w:rPr>
          <w:rFonts w:ascii="Century Gothic" w:hAnsi="Century Gothic" w:cstheme="minorHAnsi"/>
          <w:sz w:val="22"/>
          <w:shd w:val="clear" w:color="auto" w:fill="FFFFFF"/>
        </w:rPr>
        <w:t xml:space="preserve"> Pretoria (SA)</w:t>
      </w:r>
      <w:r w:rsidRPr="00DE1BDE">
        <w:rPr>
          <w:rFonts w:ascii="Century Gothic" w:hAnsi="Century Gothic" w:cstheme="minorHAnsi"/>
          <w:sz w:val="22"/>
        </w:rPr>
        <w:t>.</w:t>
      </w:r>
    </w:p>
    <w:p w14:paraId="01B66FE4" w14:textId="0D09D773" w:rsidR="00466908" w:rsidRPr="000C29A8" w:rsidRDefault="00DE1BDE" w:rsidP="00466908">
      <w:pPr>
        <w:spacing w:after="0" w:line="276" w:lineRule="auto"/>
        <w:rPr>
          <w:rFonts w:ascii="Century Gothic" w:hAnsi="Century Gothic"/>
          <w:b/>
          <w:bCs/>
          <w:color w:val="auto"/>
          <w:sz w:val="22"/>
          <w:u w:val="single"/>
        </w:rPr>
      </w:pPr>
      <w:r w:rsidRPr="000C29A8">
        <w:rPr>
          <w:rFonts w:ascii="Century Gothic" w:hAnsi="Century Gothic"/>
          <w:b/>
          <w:bCs/>
          <w:color w:val="auto"/>
          <w:sz w:val="22"/>
          <w:u w:val="single"/>
        </w:rPr>
        <w:t>EDUCATION BACKGROUND</w:t>
      </w:r>
    </w:p>
    <w:p w14:paraId="4D9B1A96" w14:textId="5919CC65" w:rsidR="00F611EF" w:rsidRPr="000C29A8" w:rsidRDefault="00F611EF" w:rsidP="00466908">
      <w:pPr>
        <w:spacing w:after="0" w:line="276" w:lineRule="auto"/>
        <w:rPr>
          <w:rFonts w:ascii="Century Gothic" w:hAnsi="Century Gothic"/>
          <w:b/>
          <w:bCs/>
          <w:color w:val="auto"/>
          <w:sz w:val="22"/>
        </w:rPr>
      </w:pPr>
      <w:r w:rsidRPr="000C29A8">
        <w:rPr>
          <w:rFonts w:ascii="Century Gothic" w:hAnsi="Century Gothic"/>
          <w:b/>
          <w:bCs/>
          <w:color w:val="auto"/>
          <w:sz w:val="22"/>
        </w:rPr>
        <w:t>University of Nairobi</w:t>
      </w:r>
    </w:p>
    <w:p w14:paraId="04C9808F" w14:textId="22161F0D" w:rsidR="00F611EF" w:rsidRPr="000C29A8" w:rsidRDefault="00F611EF" w:rsidP="00466908">
      <w:pPr>
        <w:spacing w:after="0" w:line="276" w:lineRule="auto"/>
        <w:rPr>
          <w:rFonts w:ascii="Century Gothic" w:hAnsi="Century Gothic"/>
          <w:color w:val="auto"/>
          <w:sz w:val="22"/>
        </w:rPr>
      </w:pPr>
      <w:r w:rsidRPr="000C29A8">
        <w:rPr>
          <w:rFonts w:ascii="Century Gothic" w:hAnsi="Century Gothic"/>
          <w:color w:val="auto"/>
          <w:sz w:val="22"/>
        </w:rPr>
        <w:t>Bachelor of Commerce-Bcom</w:t>
      </w:r>
      <w:r w:rsidR="007D3976" w:rsidRPr="000C29A8">
        <w:rPr>
          <w:rFonts w:ascii="Century Gothic" w:hAnsi="Century Gothic"/>
          <w:color w:val="auto"/>
          <w:sz w:val="22"/>
        </w:rPr>
        <w:t xml:space="preserve"> (</w:t>
      </w:r>
      <w:r w:rsidRPr="000C29A8">
        <w:rPr>
          <w:rFonts w:ascii="Century Gothic" w:hAnsi="Century Gothic"/>
          <w:color w:val="auto"/>
          <w:sz w:val="22"/>
        </w:rPr>
        <w:t>Accounting</w:t>
      </w:r>
      <w:r w:rsidR="007D3976" w:rsidRPr="000C29A8">
        <w:rPr>
          <w:rFonts w:ascii="Century Gothic" w:hAnsi="Century Gothic"/>
          <w:color w:val="auto"/>
          <w:sz w:val="22"/>
        </w:rPr>
        <w:t>)</w:t>
      </w:r>
      <w:r w:rsidRPr="000C29A8">
        <w:rPr>
          <w:rFonts w:ascii="Century Gothic" w:hAnsi="Century Gothic"/>
          <w:color w:val="auto"/>
          <w:sz w:val="22"/>
        </w:rPr>
        <w:t xml:space="preserve"> and Business/Management</w:t>
      </w:r>
    </w:p>
    <w:p w14:paraId="141E0827" w14:textId="5F2B78F6" w:rsidR="00F611EF" w:rsidRPr="000C29A8" w:rsidRDefault="00F611EF" w:rsidP="00466908">
      <w:pPr>
        <w:spacing w:after="0" w:line="276" w:lineRule="auto"/>
        <w:rPr>
          <w:rFonts w:ascii="Century Gothic" w:hAnsi="Century Gothic"/>
          <w:color w:val="auto"/>
          <w:sz w:val="22"/>
        </w:rPr>
      </w:pPr>
      <w:r w:rsidRPr="000C29A8">
        <w:rPr>
          <w:rFonts w:ascii="Century Gothic" w:hAnsi="Century Gothic"/>
          <w:color w:val="auto"/>
          <w:sz w:val="22"/>
        </w:rPr>
        <w:t>1982-1985</w:t>
      </w:r>
    </w:p>
    <w:p w14:paraId="1B42DFF9" w14:textId="6F972068" w:rsidR="00DE1BDE" w:rsidRPr="000C29A8" w:rsidRDefault="00DE1BDE" w:rsidP="00466908">
      <w:pPr>
        <w:spacing w:after="0" w:line="276" w:lineRule="auto"/>
        <w:rPr>
          <w:rFonts w:ascii="Century Gothic" w:hAnsi="Century Gothic"/>
          <w:b/>
          <w:bCs/>
          <w:color w:val="auto"/>
          <w:sz w:val="22"/>
          <w:u w:val="single"/>
        </w:rPr>
      </w:pPr>
      <w:r w:rsidRPr="000C29A8">
        <w:rPr>
          <w:rFonts w:ascii="Century Gothic" w:hAnsi="Century Gothic"/>
          <w:b/>
          <w:bCs/>
          <w:sz w:val="22"/>
        </w:rPr>
        <w:t>Strathmore University</w:t>
      </w:r>
    </w:p>
    <w:p w14:paraId="2E4A6081" w14:textId="25AA90DC" w:rsidR="00DE1BDE" w:rsidRPr="000C29A8" w:rsidRDefault="00F611EF" w:rsidP="00466908">
      <w:pPr>
        <w:spacing w:after="0" w:line="276" w:lineRule="auto"/>
        <w:rPr>
          <w:rFonts w:ascii="Century Gothic" w:hAnsi="Century Gothic"/>
          <w:color w:val="auto"/>
          <w:sz w:val="22"/>
        </w:rPr>
      </w:pPr>
      <w:r w:rsidRPr="000C29A8">
        <w:rPr>
          <w:rFonts w:ascii="Century Gothic" w:hAnsi="Century Gothic"/>
          <w:color w:val="auto"/>
          <w:sz w:val="22"/>
        </w:rPr>
        <w:t>Certified Public Accountant (CPA), Accounting and Business/Management</w:t>
      </w:r>
    </w:p>
    <w:p w14:paraId="4EEF302E" w14:textId="77777777" w:rsidR="00466908" w:rsidRPr="000C29A8" w:rsidRDefault="00466908" w:rsidP="00466908">
      <w:pPr>
        <w:spacing w:after="0" w:line="276" w:lineRule="auto"/>
        <w:rPr>
          <w:rFonts w:ascii="Century Gothic" w:hAnsi="Century Gothic"/>
          <w:color w:val="auto"/>
          <w:sz w:val="22"/>
        </w:rPr>
      </w:pPr>
    </w:p>
    <w:p w14:paraId="491830F3" w14:textId="77777777" w:rsidR="00466908" w:rsidRPr="000C29A8" w:rsidRDefault="00466908" w:rsidP="00466908">
      <w:pPr>
        <w:spacing w:after="0" w:line="276" w:lineRule="auto"/>
        <w:rPr>
          <w:rFonts w:ascii="Century Gothic" w:hAnsi="Century Gothic"/>
          <w:color w:val="auto"/>
          <w:sz w:val="22"/>
        </w:rPr>
      </w:pPr>
    </w:p>
    <w:p w14:paraId="401ABBC2" w14:textId="77777777" w:rsidR="00466908" w:rsidRPr="00AC2986" w:rsidRDefault="00466908" w:rsidP="00466908">
      <w:pPr>
        <w:spacing w:after="0" w:line="276" w:lineRule="auto"/>
        <w:rPr>
          <w:color w:val="auto"/>
          <w:szCs w:val="24"/>
        </w:rPr>
      </w:pPr>
    </w:p>
    <w:p w14:paraId="5CA1E761" w14:textId="77777777" w:rsidR="00466908" w:rsidRPr="00AC2986" w:rsidRDefault="00466908" w:rsidP="00466908">
      <w:pPr>
        <w:rPr>
          <w:color w:val="auto"/>
          <w:szCs w:val="24"/>
        </w:rPr>
      </w:pPr>
    </w:p>
    <w:p w14:paraId="4A364F47" w14:textId="77777777" w:rsidR="00466908" w:rsidRPr="00AC2986" w:rsidRDefault="00466908" w:rsidP="00466908">
      <w:pPr>
        <w:spacing w:after="0" w:line="276" w:lineRule="auto"/>
        <w:rPr>
          <w:color w:val="auto"/>
          <w:szCs w:val="24"/>
        </w:rPr>
      </w:pPr>
    </w:p>
    <w:p w14:paraId="208C24DF" w14:textId="77777777" w:rsidR="00466908" w:rsidRPr="00AC2986" w:rsidRDefault="00466908" w:rsidP="00466908">
      <w:pPr>
        <w:rPr>
          <w:color w:val="auto"/>
          <w:szCs w:val="24"/>
        </w:rPr>
      </w:pPr>
    </w:p>
    <w:p w14:paraId="3B6F3CD4" w14:textId="77777777" w:rsidR="00466908" w:rsidRPr="00AC2986" w:rsidRDefault="00466908" w:rsidP="00466908">
      <w:pPr>
        <w:spacing w:after="0" w:line="276" w:lineRule="auto"/>
        <w:rPr>
          <w:color w:val="auto"/>
          <w:szCs w:val="24"/>
        </w:rPr>
      </w:pPr>
    </w:p>
    <w:p w14:paraId="357D653C" w14:textId="77777777" w:rsidR="00466908" w:rsidRPr="00AC2986" w:rsidRDefault="00466908" w:rsidP="00466908">
      <w:pPr>
        <w:spacing w:after="0" w:line="276" w:lineRule="auto"/>
        <w:rPr>
          <w:color w:val="auto"/>
          <w:szCs w:val="24"/>
        </w:rPr>
      </w:pPr>
    </w:p>
    <w:p w14:paraId="26A18EEF" w14:textId="77777777" w:rsidR="00466908" w:rsidRPr="00AC2986" w:rsidRDefault="00466908" w:rsidP="00466908">
      <w:pPr>
        <w:spacing w:after="0" w:line="276" w:lineRule="auto"/>
        <w:rPr>
          <w:rFonts w:ascii="Century Gothic" w:eastAsia="Calibri" w:hAnsi="Century Gothic" w:cs="Tahoma"/>
          <w:bCs/>
          <w:color w:val="auto"/>
          <w:szCs w:val="24"/>
        </w:rPr>
      </w:pPr>
      <w:r w:rsidRPr="00AC2986">
        <w:rPr>
          <w:color w:val="auto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1EF51C07" w14:textId="77777777" w:rsidR="00466908" w:rsidRPr="00AC2986" w:rsidRDefault="00466908" w:rsidP="00466908">
      <w:pPr>
        <w:pStyle w:val="ListParagraph"/>
        <w:spacing w:after="0"/>
        <w:rPr>
          <w:rFonts w:ascii="Century Gothic" w:eastAsia="Calibri" w:hAnsi="Century Gothic" w:cs="Tahoma"/>
          <w:bCs/>
          <w:color w:val="auto"/>
          <w:szCs w:val="24"/>
        </w:rPr>
      </w:pPr>
    </w:p>
    <w:p w14:paraId="3C40EAAC" w14:textId="77777777" w:rsidR="00466908" w:rsidRPr="00AC2986" w:rsidRDefault="00466908" w:rsidP="00466908">
      <w:pPr>
        <w:rPr>
          <w:rFonts w:asciiTheme="minorHAnsi" w:eastAsiaTheme="minorHAnsi" w:hAnsiTheme="minorHAnsi" w:cstheme="minorBidi"/>
          <w:color w:val="auto"/>
          <w:szCs w:val="24"/>
        </w:rPr>
      </w:pPr>
    </w:p>
    <w:p w14:paraId="21778FD1" w14:textId="77777777" w:rsidR="00466908" w:rsidRPr="00AC2986" w:rsidRDefault="00466908" w:rsidP="00466908">
      <w:pPr>
        <w:rPr>
          <w:color w:val="auto"/>
          <w:szCs w:val="24"/>
        </w:rPr>
      </w:pPr>
    </w:p>
    <w:p w14:paraId="02D51BC6" w14:textId="77777777" w:rsidR="00466908" w:rsidRPr="00AC2986" w:rsidRDefault="00466908" w:rsidP="00466908">
      <w:pPr>
        <w:rPr>
          <w:color w:val="auto"/>
          <w:szCs w:val="24"/>
        </w:rPr>
      </w:pPr>
    </w:p>
    <w:p w14:paraId="44971C0C" w14:textId="77777777" w:rsidR="00466908" w:rsidRPr="00AC2986" w:rsidRDefault="00466908" w:rsidP="00466908">
      <w:pPr>
        <w:rPr>
          <w:color w:val="auto"/>
          <w:szCs w:val="24"/>
        </w:rPr>
      </w:pPr>
    </w:p>
    <w:p w14:paraId="741BDD23" w14:textId="77777777" w:rsidR="00466908" w:rsidRPr="00AC2986" w:rsidRDefault="00466908" w:rsidP="00466908">
      <w:pPr>
        <w:spacing w:after="0" w:line="276" w:lineRule="auto"/>
        <w:rPr>
          <w:color w:val="auto"/>
          <w:szCs w:val="24"/>
        </w:rPr>
      </w:pPr>
      <w:r w:rsidRPr="00AC2986">
        <w:rPr>
          <w:rFonts w:ascii="Century Gothic" w:eastAsia="Calibri" w:hAnsi="Century Gothic" w:cs="Tahoma"/>
          <w:bCs/>
          <w:caps/>
          <w:color w:val="auto"/>
          <w:szCs w:val="24"/>
        </w:rPr>
        <w:t xml:space="preserve"> </w:t>
      </w:r>
    </w:p>
    <w:p w14:paraId="6BFF8451" w14:textId="77777777" w:rsidR="00466908" w:rsidRPr="00AC2986" w:rsidRDefault="00466908" w:rsidP="00951A5B">
      <w:pPr>
        <w:spacing w:after="38" w:line="240" w:lineRule="auto"/>
        <w:ind w:left="0" w:firstLine="0"/>
        <w:jc w:val="left"/>
        <w:rPr>
          <w:rFonts w:ascii="Times New Roman" w:hAnsi="Times New Roman" w:cs="Times New Roman"/>
          <w:b/>
          <w:color w:val="auto"/>
          <w:szCs w:val="24"/>
        </w:rPr>
      </w:pPr>
    </w:p>
    <w:p w14:paraId="44841A53" w14:textId="77777777" w:rsidR="00466908" w:rsidRPr="00AC2986" w:rsidRDefault="00466908" w:rsidP="00951A5B">
      <w:pPr>
        <w:spacing w:after="38" w:line="240" w:lineRule="auto"/>
        <w:ind w:left="0" w:firstLine="0"/>
        <w:jc w:val="left"/>
        <w:rPr>
          <w:rFonts w:ascii="Times New Roman" w:hAnsi="Times New Roman" w:cs="Times New Roman"/>
          <w:b/>
          <w:color w:val="auto"/>
          <w:szCs w:val="24"/>
        </w:rPr>
      </w:pPr>
    </w:p>
    <w:p w14:paraId="1AF2C895" w14:textId="77777777" w:rsidR="00466908" w:rsidRPr="00AC2986" w:rsidRDefault="00466908" w:rsidP="00951A5B">
      <w:pPr>
        <w:spacing w:after="38" w:line="240" w:lineRule="auto"/>
        <w:ind w:left="0" w:firstLine="0"/>
        <w:jc w:val="left"/>
        <w:rPr>
          <w:rFonts w:ascii="Times New Roman" w:hAnsi="Times New Roman" w:cs="Times New Roman"/>
          <w:b/>
          <w:color w:val="auto"/>
          <w:szCs w:val="24"/>
        </w:rPr>
      </w:pPr>
    </w:p>
    <w:p w14:paraId="6F05BB37" w14:textId="77777777" w:rsidR="00466908" w:rsidRPr="00AC2986" w:rsidRDefault="00466908" w:rsidP="00951A5B">
      <w:pPr>
        <w:spacing w:after="38" w:line="240" w:lineRule="auto"/>
        <w:ind w:left="0" w:firstLine="0"/>
        <w:jc w:val="left"/>
        <w:rPr>
          <w:rFonts w:ascii="Times New Roman" w:hAnsi="Times New Roman" w:cs="Times New Roman"/>
          <w:b/>
          <w:color w:val="auto"/>
          <w:szCs w:val="24"/>
        </w:rPr>
      </w:pPr>
    </w:p>
    <w:p w14:paraId="49EC2AEF" w14:textId="77777777" w:rsidR="00466908" w:rsidRPr="00AC2986" w:rsidRDefault="00466908" w:rsidP="00951A5B">
      <w:pPr>
        <w:spacing w:after="38" w:line="240" w:lineRule="auto"/>
        <w:ind w:left="0" w:firstLine="0"/>
        <w:jc w:val="left"/>
        <w:rPr>
          <w:rFonts w:ascii="Times New Roman" w:hAnsi="Times New Roman" w:cs="Times New Roman"/>
          <w:b/>
          <w:color w:val="auto"/>
          <w:szCs w:val="24"/>
        </w:rPr>
      </w:pPr>
    </w:p>
    <w:p w14:paraId="0437F9B4" w14:textId="77777777" w:rsidR="00677B13" w:rsidRPr="00AC2986" w:rsidRDefault="00677B13">
      <w:pPr>
        <w:rPr>
          <w:rFonts w:ascii="Times New Roman" w:hAnsi="Times New Roman" w:cs="Times New Roman"/>
          <w:color w:val="auto"/>
          <w:szCs w:val="24"/>
        </w:rPr>
      </w:pPr>
    </w:p>
    <w:sectPr w:rsidR="00677B13" w:rsidRPr="00AC2986">
      <w:pgSz w:w="12240" w:h="15840"/>
      <w:pgMar w:top="1493" w:right="752" w:bottom="1493" w:left="7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A71A1"/>
    <w:multiLevelType w:val="hybridMultilevel"/>
    <w:tmpl w:val="DEDE919A"/>
    <w:lvl w:ilvl="0" w:tplc="455891E0">
      <w:start w:val="1"/>
      <w:numFmt w:val="bullet"/>
      <w:lvlText w:val="•"/>
      <w:lvlJc w:val="left"/>
      <w:pPr>
        <w:ind w:left="950"/>
      </w:pPr>
      <w:rPr>
        <w:rFonts w:ascii="Arial" w:eastAsia="Arial" w:hAnsi="Arial" w:cs="Arial"/>
        <w:b w:val="0"/>
        <w:i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B05244">
      <w:start w:val="1"/>
      <w:numFmt w:val="bullet"/>
      <w:lvlText w:val="o"/>
      <w:lvlJc w:val="left"/>
      <w:pPr>
        <w:ind w:left="1670"/>
      </w:pPr>
      <w:rPr>
        <w:rFonts w:ascii="Segoe UI Symbol" w:eastAsia="Segoe UI Symbol" w:hAnsi="Segoe UI Symbol" w:cs="Segoe UI Symbol"/>
        <w:b w:val="0"/>
        <w:i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E6ED40">
      <w:start w:val="1"/>
      <w:numFmt w:val="bullet"/>
      <w:lvlText w:val="▪"/>
      <w:lvlJc w:val="left"/>
      <w:pPr>
        <w:ind w:left="2390"/>
      </w:pPr>
      <w:rPr>
        <w:rFonts w:ascii="Segoe UI Symbol" w:eastAsia="Segoe UI Symbol" w:hAnsi="Segoe UI Symbol" w:cs="Segoe UI Symbol"/>
        <w:b w:val="0"/>
        <w:i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282022">
      <w:start w:val="1"/>
      <w:numFmt w:val="bullet"/>
      <w:lvlText w:val="•"/>
      <w:lvlJc w:val="left"/>
      <w:pPr>
        <w:ind w:left="3110"/>
      </w:pPr>
      <w:rPr>
        <w:rFonts w:ascii="Arial" w:eastAsia="Arial" w:hAnsi="Arial" w:cs="Arial"/>
        <w:b w:val="0"/>
        <w:i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BA19B8">
      <w:start w:val="1"/>
      <w:numFmt w:val="bullet"/>
      <w:lvlText w:val="o"/>
      <w:lvlJc w:val="left"/>
      <w:pPr>
        <w:ind w:left="3830"/>
      </w:pPr>
      <w:rPr>
        <w:rFonts w:ascii="Segoe UI Symbol" w:eastAsia="Segoe UI Symbol" w:hAnsi="Segoe UI Symbol" w:cs="Segoe UI Symbol"/>
        <w:b w:val="0"/>
        <w:i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1CB39A">
      <w:start w:val="1"/>
      <w:numFmt w:val="bullet"/>
      <w:lvlText w:val="▪"/>
      <w:lvlJc w:val="left"/>
      <w:pPr>
        <w:ind w:left="4550"/>
      </w:pPr>
      <w:rPr>
        <w:rFonts w:ascii="Segoe UI Symbol" w:eastAsia="Segoe UI Symbol" w:hAnsi="Segoe UI Symbol" w:cs="Segoe UI Symbol"/>
        <w:b w:val="0"/>
        <w:i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54EE0A">
      <w:start w:val="1"/>
      <w:numFmt w:val="bullet"/>
      <w:lvlText w:val="•"/>
      <w:lvlJc w:val="left"/>
      <w:pPr>
        <w:ind w:left="5270"/>
      </w:pPr>
      <w:rPr>
        <w:rFonts w:ascii="Arial" w:eastAsia="Arial" w:hAnsi="Arial" w:cs="Arial"/>
        <w:b w:val="0"/>
        <w:i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12BE84">
      <w:start w:val="1"/>
      <w:numFmt w:val="bullet"/>
      <w:lvlText w:val="o"/>
      <w:lvlJc w:val="left"/>
      <w:pPr>
        <w:ind w:left="5990"/>
      </w:pPr>
      <w:rPr>
        <w:rFonts w:ascii="Segoe UI Symbol" w:eastAsia="Segoe UI Symbol" w:hAnsi="Segoe UI Symbol" w:cs="Segoe UI Symbol"/>
        <w:b w:val="0"/>
        <w:i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FC68B0">
      <w:start w:val="1"/>
      <w:numFmt w:val="bullet"/>
      <w:lvlText w:val="▪"/>
      <w:lvlJc w:val="left"/>
      <w:pPr>
        <w:ind w:left="6710"/>
      </w:pPr>
      <w:rPr>
        <w:rFonts w:ascii="Segoe UI Symbol" w:eastAsia="Segoe UI Symbol" w:hAnsi="Segoe UI Symbol" w:cs="Segoe UI Symbol"/>
        <w:b w:val="0"/>
        <w:i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B13"/>
    <w:rsid w:val="000C29A8"/>
    <w:rsid w:val="0019404C"/>
    <w:rsid w:val="00346829"/>
    <w:rsid w:val="00466908"/>
    <w:rsid w:val="004E2A77"/>
    <w:rsid w:val="004E3BDA"/>
    <w:rsid w:val="00551AB8"/>
    <w:rsid w:val="00677B13"/>
    <w:rsid w:val="007D3976"/>
    <w:rsid w:val="00951A5B"/>
    <w:rsid w:val="00AC2986"/>
    <w:rsid w:val="00B113A0"/>
    <w:rsid w:val="00B3415C"/>
    <w:rsid w:val="00BC1064"/>
    <w:rsid w:val="00D246F9"/>
    <w:rsid w:val="00DE1BDE"/>
    <w:rsid w:val="00F12DB8"/>
    <w:rsid w:val="00F6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A2D8F"/>
  <w15:docId w15:val="{F4467A0C-5D0E-4F2F-8F9F-D3CBDF87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74" w:line="234" w:lineRule="auto"/>
      <w:ind w:left="15" w:hanging="10"/>
      <w:jc w:val="both"/>
    </w:pPr>
    <w:rPr>
      <w:rFonts w:ascii="Garamond" w:eastAsia="Garamond" w:hAnsi="Garamond" w:cs="Garamond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1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A5B"/>
    <w:rPr>
      <w:rFonts w:ascii="Tahoma" w:eastAsia="Garamond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Micah Langat</dc:creator>
  <cp:lastModifiedBy>Bevalyne Longet</cp:lastModifiedBy>
  <cp:revision>5</cp:revision>
  <dcterms:created xsi:type="dcterms:W3CDTF">2019-09-06T12:51:00Z</dcterms:created>
  <dcterms:modified xsi:type="dcterms:W3CDTF">2019-09-12T09:18:00Z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1720563900</vt:i4>
  </property>
</Properties>
</file>